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8EA9F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noProof/>
          <w:color w:val="333333"/>
          <w:sz w:val="27"/>
          <w:szCs w:val="27"/>
          <w:lang w:eastAsia="uk-UA"/>
        </w:rPr>
        <w:drawing>
          <wp:inline distT="0" distB="0" distL="0" distR="0" wp14:anchorId="474BC104" wp14:editId="403882E1">
            <wp:extent cx="5715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A2DD777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color w:val="333333"/>
          <w:sz w:val="36"/>
          <w:szCs w:val="36"/>
          <w:lang w:eastAsia="uk-UA"/>
        </w:rPr>
      </w:pPr>
      <w:bookmarkStart w:id="0" w:name="o1"/>
      <w:bookmarkEnd w:id="0"/>
      <w:r w:rsidRPr="00CF7043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t>ЗАКОН   УКРАЇНИ</w:t>
      </w:r>
      <w:r w:rsidRPr="00CF7043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 </w:t>
      </w:r>
    </w:p>
    <w:p w14:paraId="3BAFB3E4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color w:val="333333"/>
          <w:sz w:val="36"/>
          <w:szCs w:val="36"/>
          <w:lang w:eastAsia="uk-UA"/>
        </w:rPr>
      </w:pPr>
      <w:bookmarkStart w:id="1" w:name="o2"/>
      <w:bookmarkEnd w:id="1"/>
      <w:r w:rsidRPr="00CF7043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t>Про виконання рішень та застосування</w:t>
      </w:r>
      <w:r w:rsidRPr="00CF7043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практики Європейського суду з прав людини</w:t>
      </w:r>
      <w:r w:rsidRPr="00CF7043">
        <w:rPr>
          <w:rFonts w:ascii="Arial" w:eastAsia="Times New Roman" w:hAnsi="Arial" w:cs="Arial"/>
          <w:b/>
          <w:bCs/>
          <w:color w:val="333333"/>
          <w:sz w:val="36"/>
          <w:szCs w:val="36"/>
          <w:lang w:eastAsia="uk-UA"/>
        </w:rPr>
        <w:br/>
        <w:t> </w:t>
      </w:r>
    </w:p>
    <w:p w14:paraId="5E950C7D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" w:name="o3"/>
      <w:bookmarkEnd w:id="2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( Відомості Верховної Ради України (ВВР), 2006, N 30, ст.260 )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170D0F60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" w:name="o4"/>
      <w:bookmarkEnd w:id="3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{Із змінами, внесеними згідно із Законами N 3135-VI </w:t>
      </w:r>
      <w:hyperlink r:id="rId5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15.03.2011, ВВР, 2011, N 39, ст.391 N 5463-VI </w:t>
      </w:r>
      <w:hyperlink r:id="rId6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5463-17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16.10.2012, ВВР, 2014, N 4, ст.61}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6B1381E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" w:name="o5"/>
      <w:bookmarkEnd w:id="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Цей Закон регулює відносини, що виникають у зв'язку з обов'язком держави виконати рішення Європейського суду з прав людини у справах проти України; з необхідністю усунення причин порушення Україною Конвенції про захист прав людини і основоположних свобод </w:t>
      </w:r>
      <w:hyperlink r:id="rId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і протоколів </w:t>
      </w:r>
      <w:hyperlink r:id="rId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994_535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994_059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994_802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1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3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994_171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994_536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6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994_180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1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994_527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 неї; з впровадженням в українське судочинство та адміністративну практику європейських стандартів прав людини; зі створенням передумов для зменшення числа заяв до Європейського суду з прав людини проти України.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66C802B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" w:name="o6"/>
      <w:bookmarkEnd w:id="5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Глава 1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ЗАГАЛЬНІ ПОЛОЖЕННЯ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B7DE36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" w:name="o7"/>
      <w:bookmarkEnd w:id="6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Визначення термінів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78B162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" w:name="o8"/>
      <w:bookmarkEnd w:id="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У цьому Законі терміни вживаються в такому значенні: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DDDC7B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" w:name="o9"/>
      <w:bookmarkEnd w:id="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Конвенція - Конвенція про захист прав людини і основоположних свобод </w:t>
      </w:r>
      <w:hyperlink r:id="rId1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1950 року і протоколи </w:t>
      </w:r>
      <w:hyperlink r:id="rId1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994_535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994_059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1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994_802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3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994_171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994_536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6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994_180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2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994_527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 неї, згоду на обов'язковість яких надано Верховною Радою України;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042658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" w:name="o10"/>
      <w:bookmarkEnd w:id="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Суд - Європейський суд з прав людини;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E3DEDE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" w:name="o11"/>
      <w:bookmarkEnd w:id="1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Комісія - Європейська комісія з прав людини;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8DC3BB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" w:name="o12"/>
      <w:bookmarkEnd w:id="1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практика Суду - практика Європейського суду з прав людини та Європейської комісії з прав людини;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EBA6F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" w:name="o13"/>
      <w:bookmarkEnd w:id="1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Рішення - а) остаточне рішення Європейського суду з прав людини у справі проти України, яким визнано порушення Конвенції про захист прав людини і основоположних свобод </w:t>
      </w:r>
      <w:hyperlink r:id="rId2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; б) остаточне рішення Європейського суду з прав людини щодо справедливої сатисфакції у справі проти України; в) рішення Європейського суду з прав людини щодо дружнього врегулювання у справі проти України; г) рішення Європейського суду з прав людини про схвалення умов односторонньої декларації у справі проти України;</w:t>
      </w:r>
    </w:p>
    <w:p w14:paraId="026FF54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шостий частини першої статті 1 із змінами, внесеними згідно із Законом N 3135-VI </w:t>
      </w:r>
      <w:hyperlink r:id="rId30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1C22094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0C9AF45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" w:name="o14"/>
      <w:bookmarkEnd w:id="1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Стягувач - а) особа, за заявою якої Європейським судом з прав людини постановлено Рішення; б) її представник, правонаступник; в) особа (група осіб), на користь якої рішенням Європейського суду з прав людини визначено обов'язок України в міждержавній справі;</w:t>
      </w:r>
    </w:p>
    <w:p w14:paraId="3455E4C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сьомий частини першої статті 1 в редакції Закону N 3135-VI </w:t>
      </w:r>
      <w:hyperlink r:id="rId31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5E37542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BA53C0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" w:name="o15"/>
      <w:bookmarkEnd w:id="1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відшкодування - а) сума справедливої сатисфакції, визначена рішенням Європейського суду з прав людини відповідно до статті 41 Конвенції про захист прав людини і основоположних свобод </w:t>
      </w:r>
      <w:hyperlink r:id="rId3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; б) визначена у рішенні Європейського суду з прав людини щодо дружнього врегулювання або у рішенні Європейського суду з прав людини про схвалення умов односторонньої декларації сума грошової виплати на користь Стягувача;</w:t>
      </w:r>
    </w:p>
    <w:p w14:paraId="5CFCD825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восьмий частини першої статті 1 в редакції Закону N 3135-VI </w:t>
      </w:r>
      <w:hyperlink r:id="rId33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6AFCEA1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AD6EB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" w:name="o16"/>
      <w:bookmarkEnd w:id="1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виконання Рішення - а) виплата Стягувачеві відшкодування та вжиття додаткових заходів індивідуального характеру; б) вжиття заходів загального характеру;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7D2DC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6" w:name="o17"/>
      <w:bookmarkEnd w:id="1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Орган представництва - орган, відповідальний за забезпечення представництва України в Європейському суді з прав людини та координацію виконання його рішень;</w:t>
      </w:r>
    </w:p>
    <w:p w14:paraId="7052408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десятий частини першої статті 1 із змінами, внесеними згідно із Законом N 3135-VI </w:t>
      </w:r>
      <w:hyperlink r:id="rId34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1E83347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A80B1F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7" w:name="o18"/>
      <w:bookmarkEnd w:id="1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оригінальний текст - офіційний текст, виконаний офіційною мовою Ради Європи: а) Конвенції про захист прав людини і основоположних свобод </w:t>
      </w:r>
      <w:hyperlink r:id="rId3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 1950 року та 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протоколів </w:t>
      </w:r>
      <w:hyperlink r:id="rId36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994_535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3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994_059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3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994_802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3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994_804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1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994_171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994_536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3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994_537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994_180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 </w:t>
      </w:r>
      <w:hyperlink r:id="rId4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994_527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 неї; б) рішення та ухвали Європейського суду з прав людини; в) ухвали Європейської комісії з прав людини.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63735E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8" w:name="o19"/>
      <w:bookmarkEnd w:id="18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2.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Виконання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1CBAF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9" w:name="o20"/>
      <w:bookmarkEnd w:id="1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Рішення є обов'язковим для виконання Україною відповідно до статті 46 Конвенції </w:t>
      </w:r>
      <w:hyperlink r:id="rId46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C3D3E7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0" w:name="o21"/>
      <w:bookmarkEnd w:id="2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Порядок виконання Рішення визначається цим Законом, Законом України "Про виконавче провадження" </w:t>
      </w:r>
      <w:hyperlink r:id="rId4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606-14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іншими нормативно-правовими актами з урахуванням особливостей, що передбачені цим Законом.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4933A6B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1" w:name="o22"/>
      <w:bookmarkEnd w:id="21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3.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Фінансування витрат на виконання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35023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2" w:name="o23"/>
      <w:bookmarkEnd w:id="2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Виконання Рішення здійснюється за рахунок Державного бюджету України.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FA22483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3" w:name="o24"/>
      <w:bookmarkEnd w:id="23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Глава 2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ДОСТУП ДО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A5F821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4" w:name="o25"/>
      <w:bookmarkEnd w:id="24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4.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Стислий виклад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D0E97A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5" w:name="o26"/>
      <w:bookmarkEnd w:id="2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Протягом десяти днів від дня одержання повідомлення про набуття Рішенням статусу остаточного орган представництва готує та надсилає для опублікування в газеті "Урядовий кур'єр" стислий виклад Рішення українською мовою (далі - стислий виклад Рішення), який має включати:</w:t>
      </w:r>
    </w:p>
    <w:p w14:paraId="23DCBFB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перший частини першої статті 4 із змінами, внесеними згідно із Законом N 3135-VI </w:t>
      </w:r>
      <w:hyperlink r:id="rId48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66B334A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F7E9D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6" w:name="o27"/>
      <w:bookmarkEnd w:id="2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офіційну назву Рішення мовою оригіналу та в перекладі українською мовою;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8D2007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7" w:name="o28"/>
      <w:bookmarkEnd w:id="2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номер заяви до Суду;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B69CE7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8" w:name="o29"/>
      <w:bookmarkEnd w:id="2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в) дату постановлення Рішення;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523A71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29" w:name="o30"/>
      <w:bookmarkEnd w:id="2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г) стислий виклад фактів у справі;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3CF009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0" w:name="o31"/>
      <w:bookmarkEnd w:id="3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д) стислий виклад питань права;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75680D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1" w:name="o32"/>
      <w:bookmarkEnd w:id="3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е) переклад резолютивної частини Рішення.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C9985C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2" w:name="o33"/>
      <w:bookmarkEnd w:id="3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Зазначене у частині першій цієї статті видання публікує стислий виклад Рішення протягом семи днів від дня його одержання.</w:t>
      </w:r>
    </w:p>
    <w:p w14:paraId="28AF178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lastRenderedPageBreak/>
        <w:t>{Частина друга статті 4 із змінами, внесеними згідно із Законом N 3135-VI </w:t>
      </w:r>
      <w:hyperlink r:id="rId49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6026CB9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B5D647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3" w:name="o34"/>
      <w:bookmarkEnd w:id="33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5.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Сповіщення про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8E4897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4" w:name="o35"/>
      <w:bookmarkEnd w:id="3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Протягом десяти днів від дня одержання повідомлення про набуття Рішенням статусу остаточного Орган представництва надсилає стислий виклад Рішення Стягувачеві, Уповноваженому Верховної Ради України з прав людини, всім державним органам, посадовим особам та іншим суб'єктам, безпосередньо причетним до справи, за якою постановлено Рішення.</w:t>
      </w:r>
    </w:p>
    <w:p w14:paraId="527B7333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5" w:name="o36"/>
      <w:bookmarkEnd w:id="35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{Текст статті 5 в редакції Закону N 3135-VI </w:t>
      </w:r>
      <w:hyperlink r:id="rId50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64FF4FDB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6" w:name="o37"/>
      <w:bookmarkEnd w:id="36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6.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Переклад та оприлюднення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1A766B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7" w:name="o38"/>
      <w:bookmarkEnd w:id="3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З метою виконання заходів загального характеру держава забезпечує переклад та опублікування повних текстів Рішень українською мовою спеціалізованим у питаннях практики Суду юридичним виданням, що має поширення у професійному середовищі правників.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E1C525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8" w:name="o39"/>
      <w:bookmarkEnd w:id="3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Автентичність перекладу повних текстів Рішень засвідчується Органом представництва.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F90E2D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39" w:name="o40"/>
      <w:bookmarkEnd w:id="3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Визначення видання, яке здійснюватиме переклад та опублікування повних текстів Рішень, а також замовлення необхідної кількості примірників видання з метою забезпечення судів, органів прокуратури, юстиції, внутрішніх справ, служби безпеки, установ виконання покарань, інших зацікавлених суб'єктів провадяться на конкурсній основі Органом представництва.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45A8A1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0" w:name="o41"/>
      <w:bookmarkEnd w:id="4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4. Забезпечення суддів опублікованим перекладом повних текстів Рішень покладається на державний орган, відповідальний за організаційно-матеріальне забезпечення судів.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070CBED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1" w:name="o42"/>
      <w:bookmarkEnd w:id="41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Глава 3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ВИКОНАННЯ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24C440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2" w:name="o43"/>
      <w:bookmarkEnd w:id="42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7.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Звернення Рішення до виконання в частині виплати відшкодування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2DB716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3" w:name="o44"/>
      <w:bookmarkEnd w:id="4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Протягом десяти днів від дня отримання повідомлення Суду про набуття Рішенням статусу остаточного Орган представництва:</w:t>
      </w:r>
    </w:p>
    <w:p w14:paraId="279B401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перший частини першої статті 7 із змінами, внесеними згідно із Законом N 3135-VI </w:t>
      </w:r>
      <w:hyperlink r:id="rId51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09F7400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D5FF57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4" w:name="o45"/>
      <w:bookmarkEnd w:id="4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а) надсилає Стягувачеві повідомлення з роз'ясненням його права подати до державної виконавчої служби заяву про виплату відшкодування, в якій мають бути зазначені реквізити банківського рахунка для перерахування коштів;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55843B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5" w:name="o46"/>
      <w:bookmarkEnd w:id="4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надсилає до державної виконавчої служби оригінальний текст і переклад резолютивної частини остаточного рішення Суду у справі проти України, яким визнано порушення Конвенції </w:t>
      </w:r>
      <w:hyperlink r:id="rId5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оригінальний текст і переклад резолютивної частини остаточного рішення Суду щодо справедливої сатисфакції у справі проти України, оригінальний текст і переклад рішення Суду щодо дружнього врегулювання у справі проти України, оригінальний текст і переклад рішення Суду про схвалення умов односторонньої декларації у справі проти України. Автентичність перекладу засвідчується Органом представництва.</w:t>
      </w:r>
    </w:p>
    <w:p w14:paraId="762AEF4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{Пункт "б" частини першої статті 7 в редакції Закону N 3135-VI </w:t>
      </w:r>
      <w:hyperlink r:id="rId53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682AD6F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E8620A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6" w:name="o47"/>
      <w:bookmarkEnd w:id="4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Державна виконавча служба упродовж десяти днів з дня надходження документів, зазначених у пункті "б" цієї частини, відкриває виконавче провадження.</w:t>
      </w:r>
    </w:p>
    <w:p w14:paraId="0A9F1C0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четвертий частини першої статті 7 із змінами, внесеними згідно із Законом N 3135-VI </w:t>
      </w:r>
      <w:hyperlink r:id="rId54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15031A5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315BD9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7" w:name="o48"/>
      <w:bookmarkEnd w:id="4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Неподання Стягувачем заяви про виплату відшкодування не є перешкодою для виконання Рішення.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4162E3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8" w:name="o49"/>
      <w:bookmarkEnd w:id="48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8.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Виплата відшкодування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1F85D0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49" w:name="o50"/>
      <w:bookmarkEnd w:id="4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Виплата Стягувачеві відшкодування має бути здійснена у тримісячний строк з моменту набуття Рішенням статусу остаточного або у строк, передбачений у Рішенні.</w:t>
      </w:r>
    </w:p>
    <w:p w14:paraId="7014EBD1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0" w:name="o51"/>
      <w:bookmarkEnd w:id="50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перша статті 8 із змінами, внесеними згідно із Законом N 3135-VI </w:t>
      </w:r>
      <w:hyperlink r:id="rId55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6DA7A5D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1" w:name="o52"/>
      <w:bookmarkEnd w:id="5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У разі порушення строку, зазначеного в частині першій цієї статті, на суму відшкодування нараховується пеня відповідно до Рішення.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391043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2" w:name="o53"/>
      <w:bookmarkEnd w:id="5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Протягом одного місяця від дня відкриття виконавчого провадження за Рішенням Орган представництва надсилає до центрального органу виконавчої влади, що реалізує державну політику у сфері казначейського обслуговування бюджетних коштів, постанову про відкриття виконавчого провадження та документи, передбачені у пункті "б" частини першої статті 7 цього Закону.</w:t>
      </w:r>
    </w:p>
    <w:p w14:paraId="7D5A875E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3" w:name="o54"/>
      <w:bookmarkEnd w:id="53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третя статті 8 із змінами, внесеними згідно із Законами N 3135-VI </w:t>
      </w:r>
      <w:hyperlink r:id="rId56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15.03.2011, N 5463-VI </w:t>
      </w:r>
      <w:hyperlink r:id="rId57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5463-17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16.10.2012}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15080A8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4" w:name="o55"/>
      <w:bookmarkEnd w:id="5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4. Центральний орган виконавчої влади, що реалізує державну політику у сфері казначейського обслуговування бюджетних коштів, протягом 10 днів від дня надходження зазначених у частині третій цієї статті документів здійснює списання на вказаний Стягувачем банківський рахунок, а в разі його відсутності - на депозитний рахунок державної виконавчої служби коштів з відповідної бюджетної програми Державного бюджету України. Порядок збереження коштів на депозитному рахунку державної виконавчої служби визначається Законом України "Про виконавче провадження" </w:t>
      </w:r>
      <w:hyperlink r:id="rId5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606-14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.</w:t>
      </w:r>
    </w:p>
    <w:p w14:paraId="708792F5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5" w:name="o56"/>
      <w:bookmarkEnd w:id="55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четверта статті 8 із змінами, внесеними згідно із Законом N 5463-VI </w:t>
      </w:r>
      <w:hyperlink r:id="rId59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5463-17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16.10.2012}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1C1DC5A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6" w:name="o57"/>
      <w:bookmarkEnd w:id="5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5. Підтвердження списання відшкодування, отримане від центрального органу виконавчої влади, що реалізує державну політику у сфері казначейського обслуговування бюджетних коштів, та підтвердження виконання всіх вимог, зазначених у резолютивній частині остаточного рішення Суду у справі проти України, яким визнано порушення Конвенції </w:t>
      </w:r>
      <w:hyperlink r:id="rId6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резолютивній частині остаточного рішення Суду щодо справедливої сатисфакції у справі проти України, у рішенні Суду щодо дружнього врегулювання у справі проти України, у рішенні Суду про схвалення умов односторонньої декларації у справі проти України, є для державної виконавчої служби підставою для закінчення виконавчого провадження.</w:t>
      </w:r>
    </w:p>
    <w:p w14:paraId="3D337872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7" w:name="o58"/>
      <w:bookmarkEnd w:id="57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п'ята статті 8 в редакції Закону N 3135-VI </w:t>
      </w:r>
      <w:hyperlink r:id="rId61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15.03.2011; із змінами, внесеними згідно із Законом N 5463-VI </w:t>
      </w:r>
      <w:hyperlink r:id="rId62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5463-17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16.10.2012}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7AA087C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8" w:name="o59"/>
      <w:bookmarkEnd w:id="5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6. Державна виконавча служба протягом трьох днів надсилає Органу представництва постанову про закінчення виконавчого провадження та підтвердження списання коштів.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B85B96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59" w:name="o60"/>
      <w:bookmarkEnd w:id="59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9.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Окремі питання, пов'язані з виплатою відшкодування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425A13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0" w:name="o61"/>
      <w:bookmarkEnd w:id="6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Якщо встановити місцеперебування (місцезнаходження) Стягувача - фізичної особи неможливо, а також у разі смерті Стягувача - фізичної особи чи реорганізації або ліквідації Стягувача - юридичної особи сума відшкодування перераховується на депозитний рахунок державної виконавчої служби. Аналогічна процедура застосовується у випадку, передбаченому частиною другою статті 7 цього Закону.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2A6B93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1" w:name="o62"/>
      <w:bookmarkEnd w:id="6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Сума відшкодування, яка знаходиться на депозитному рахунку державної виконавчої служби, перераховується: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11D0F1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2" w:name="o63"/>
      <w:bookmarkEnd w:id="6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на рахунок Стягувача після подання ним відповідної заяви;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2D9769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3" w:name="o64"/>
      <w:bookmarkEnd w:id="6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б) на рахунки спадкоємців Стягувача - фізичної особи після подання ними належним чином оформлених документів, які надають їм право на 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отримання спадщини;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BA8764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4" w:name="o65"/>
      <w:bookmarkEnd w:id="6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в) на рахунок правонаступника реорганізованого Стягувача - юридичної особи після подання ним належним чином оформлених документів, які підтверджують його правонаступництво;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8CD297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5" w:name="o66"/>
      <w:bookmarkEnd w:id="6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г) на рахунки засновників (учасників, акціонерів) ліквідованого Стягувача - юридичної особи після подання ними рішень суду, які підтверджують їхній статус засновників (учасників, акціонерів) ліквідованого Стягувача - юридичної особи на момент ліквідації та визначають частку відшкодування, що належить до виплати кожному із засновників (учасників, акціонерів).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1BCF7F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6" w:name="o67"/>
      <w:bookmarkEnd w:id="6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Протягом трьох днів з моменту перерахування на депозитний рахунок державної виконавчої служби суми відшкодування державна виконавча служба повідомляє про це Стягувача.</w:t>
      </w:r>
    </w:p>
    <w:p w14:paraId="5980FBD1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7" w:name="o68"/>
      <w:bookmarkEnd w:id="67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{Статтю 9 доповнено новою частиною згідно із Законом N 3135-VI </w:t>
      </w:r>
      <w:hyperlink r:id="rId63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4449794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8" w:name="o69"/>
      <w:bookmarkEnd w:id="6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4. Інформацію про наявність на депозитному рахунку державної виконавчої служби суми відшкодування та про повідомлення про це Стягувача державна виконавча служба надсилає Органу представництва.</w:t>
      </w:r>
    </w:p>
    <w:p w14:paraId="51BDCE3D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69" w:name="o70"/>
      <w:bookmarkEnd w:id="69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четверта статті 9 із змінами, внесеними згідно із Законом N 3135-VI </w:t>
      </w:r>
      <w:hyperlink r:id="rId64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799DDE43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0" w:name="o71"/>
      <w:bookmarkEnd w:id="7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5. Позивачем у справах про відшкодування збитків, завданих Державному бюджету України внаслідок виплати відшкодування, виступає Орган представництва, який зобов'язаний протягом шести місяців з моменту, визначеного в частині четвертій статті 8 цього Закону, звернутися до суду з відповідним позовом. Загальний строк позовної давності для звернення з такими позовами визначається відповідно до Цивільного кодексу України </w:t>
      </w:r>
      <w:hyperlink r:id="rId6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435-15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.</w:t>
      </w:r>
    </w:p>
    <w:p w14:paraId="3864A3F4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1" w:name="o72"/>
      <w:bookmarkEnd w:id="71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п'ята статті 9 в редакції Закону N 3135-VI </w:t>
      </w:r>
      <w:hyperlink r:id="rId66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07F2ABF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2" w:name="o73"/>
      <w:bookmarkEnd w:id="72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10.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Додаткові заходи індивідуального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BC2B4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3" w:name="o74"/>
      <w:bookmarkEnd w:id="7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З метою забезпечення відновлення порушених прав Стягувача, крім виплати відшкодування, вживаються додаткові заходи індивідуального характеру.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4D40E2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4" w:name="o75"/>
      <w:bookmarkEnd w:id="7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Додатковими заходами індивідуального характеру є: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62F576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5" w:name="o76"/>
      <w:bookmarkEnd w:id="7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відновлення настільки, наскільки це можливо, попереднього юридичного стану, який Стягувач мав до порушення Конвенції </w:t>
      </w:r>
      <w:hyperlink r:id="rId6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(restitutio in integrum);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13868C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6" w:name="o77"/>
      <w:bookmarkEnd w:id="7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інші заходи, передбачені у Рішенні.</w:t>
      </w:r>
    </w:p>
    <w:p w14:paraId="7C185EC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lastRenderedPageBreak/>
        <w:t>{Пункт "б" частини другої статті 10 в редакції Закону N 3135-VI </w:t>
      </w:r>
      <w:hyperlink r:id="rId68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4DF8D2E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DBEF2C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7" w:name="o78"/>
      <w:bookmarkEnd w:id="7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Відновлення попереднього юридичного стану Стягувача здійснюється, зокрема, шляхом: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175A65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8" w:name="o79"/>
      <w:bookmarkEnd w:id="7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повторного розгляду справи судом, включаючи відновлення провадження у справі;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97B722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79" w:name="o80"/>
      <w:bookmarkEnd w:id="7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повторного розгляду справи адміністративним органом.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FD8445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0" w:name="o81"/>
      <w:bookmarkEnd w:id="80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11.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Дії Органу представництва щодо вжиття додаткових заходів індивідуального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6C2F66B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1" w:name="o82"/>
      <w:bookmarkEnd w:id="8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Протягом десяти днів від дня одержання повідомлення про набуття Рішенням статусу остаточного Орган представництва:</w:t>
      </w:r>
    </w:p>
    <w:p w14:paraId="50742E2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{Абзац перший частини першої статті 11 із змінами, внесеними згідно із Законом N 3135-VI </w:t>
      </w:r>
      <w:hyperlink r:id="rId69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141BE7C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D9859E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2" w:name="o83"/>
      <w:bookmarkEnd w:id="8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надсилає Стягувачеві повідомлення з роз'ясненням його права порушити провадження про перегляд справи та/або про його право на відновлення провадження відповідно до чинного законодавства;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8BC94E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3" w:name="o84"/>
      <w:bookmarkEnd w:id="8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повідомляє органи, які є відповідальними за виконання передбачених у Рішенні додаткових заходів індивідуального характеру, про зміст, порядок і строки виконання цих заходів. До повідомлення додається переклад Рішення, автентичність якого засвідчується Органом представництва.</w:t>
      </w:r>
    </w:p>
    <w:p w14:paraId="65A95A6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{Пункт "б" частини першої статті 11 із змінами, внесеними згідно із Законом N 3135-VI </w:t>
      </w:r>
      <w:hyperlink r:id="rId70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</w:p>
    <w:p w14:paraId="2CFDFE41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70FDF7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4" w:name="o85"/>
      <w:bookmarkEnd w:id="8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Контроль за виконанням додаткових заходів індивідуального характеру, передбачених у Рішенні, що здійснюються під наглядом Комітету міністрів Ради Європи, покладається на Орган представництва.</w:t>
      </w:r>
    </w:p>
    <w:p w14:paraId="26FD1953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5" w:name="o86"/>
      <w:bookmarkEnd w:id="85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друга статті 11 в редакції Закону N 3135-VI </w:t>
      </w:r>
      <w:hyperlink r:id="rId71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56C13C0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6" w:name="o87"/>
      <w:bookmarkEnd w:id="8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Орган представництва в рамках здійснення передбаченого частиною другою цієї статті контролю має право отримувати від органів, які є відповідальними за виконання додаткових заходів індивідуального характеру, передбачених у Рішенні, інформацію про хід і наслідки виконання таких заходів, а також вносити Прем'єр-міністрові України подання щодо забезпечення виконання додаткових заходів індивідуального характеру.</w:t>
      </w:r>
    </w:p>
    <w:p w14:paraId="4E27A457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7" w:name="o88"/>
      <w:bookmarkEnd w:id="87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lastRenderedPageBreak/>
        <w:t>{Частина третя статті 11 із змінами, внесеними згідно із Законом N 3135-VI </w:t>
      </w:r>
      <w:hyperlink r:id="rId72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61D87D5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8" w:name="o89"/>
      <w:bookmarkEnd w:id="88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12.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Дії органів, які є відповідальними за виконання додаткових заходів індивідуального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94E37D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89" w:name="o90"/>
      <w:bookmarkEnd w:id="8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Органи, відповідальні за виконання додаткових заходів індивідуального характеру, зобов'язані: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8C22CB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0" w:name="o91"/>
      <w:bookmarkEnd w:id="9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невідкладно та у визначений Рішенням та/або чинним законодавством строк виконати додаткові заходи індивідуального характеру;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C3B60D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1" w:name="o92"/>
      <w:bookmarkEnd w:id="9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надавати інформацію на запити Органу представництва про перебіг і наслідки виконання додаткових заходів індивідуального характеру;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CFF26E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2" w:name="o93"/>
      <w:bookmarkEnd w:id="9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в) дієво та без зволікань реагувати на подання Органу представництва;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384E72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3" w:name="o94"/>
      <w:bookmarkEnd w:id="9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г) про виконання додаткових заходів індивідуального характеру повідомити Орган представництва.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CA49EA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4" w:name="o95"/>
      <w:bookmarkEnd w:id="94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13.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Заходи загального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267648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5" w:name="o96"/>
      <w:bookmarkEnd w:id="9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Заходи загального характеру вживаються з метою забезпечення додержання державою положень Конвенції </w:t>
      </w:r>
      <w:hyperlink r:id="rId73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порушення яких встановлене Рішенням, забезпечення усунення недоліків системного характеру, які лежать в основі виявленого Судом порушення, а також усунення підстави для надходження до Суду заяв проти України, спричинених проблемою, що вже була предметом розгляду в Суді.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389670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6" w:name="o97"/>
      <w:bookmarkEnd w:id="9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Заходами загального характеру є заходи, спрямовані на усунення зазначеної в Рішенні системної проблеми та її першопричини, зокрема: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942C11A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7" w:name="o98"/>
      <w:bookmarkEnd w:id="9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внесення змін до чинного законодавства та практики його застосування;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0F6CD7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8" w:name="o99"/>
      <w:bookmarkEnd w:id="9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внесення змін до адміністративної практики;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73487C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99" w:name="o100"/>
      <w:bookmarkEnd w:id="9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в) забезпечення юридичної експертизи законопроектів;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54A80D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0" w:name="o101"/>
      <w:bookmarkEnd w:id="10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г) забезпечення професійної підготовки з питань вивчення Конвенції </w:t>
      </w:r>
      <w:hyperlink r:id="rId7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практики Суду прокурорів, адвокатів, працівників правоохоронних органів, працівників імміграційних служб, інших категорій працівників, професійна діяльність яких пов'язана із правозастосуванням, а також з триманням людей в умовах позбавлення свободи;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63D946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1" w:name="o102"/>
      <w:bookmarkEnd w:id="10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д) інші заходи, які визначаються - за умови нагляду з боку Комітету міністрів Ради Європи - державою-відповідачем відповідно до Рішення з 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метою забезпечення усунення недоліків системного характеру, припинення спричинених цими недоліками порушень Конвенції </w:t>
      </w:r>
      <w:hyperlink r:id="rId7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забезпечення максимального відшкодування наслідків цих порушень.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3722E5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2" w:name="o103"/>
      <w:bookmarkEnd w:id="102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14.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Дії Органу представництва щодо вжиття заходів загального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E68CF6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3" w:name="o104"/>
      <w:bookmarkEnd w:id="10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Щокварталу Орган представництва готує та надсилає до Кабінету Міністрів України подання щодо вжиття заходів загального характеру (далі - подання).</w:t>
      </w:r>
    </w:p>
    <w:p w14:paraId="45E91EF9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4" w:name="o105"/>
      <w:bookmarkEnd w:id="104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перша статті 14 із змінами, внесеними згідно із Законом N 3135-VI </w:t>
      </w:r>
      <w:hyperlink r:id="rId76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3135-17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15.03.2011}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1B5602D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5" w:name="o106"/>
      <w:bookmarkEnd w:id="10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Подання включає пропозиції щодо вирішення зазначеної в Рішенні системної проблеми та усунення її першопричини, зокрема: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DB69C8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6" w:name="o107"/>
      <w:bookmarkEnd w:id="10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аналіз обставин, що призвели до порушення Конвенції </w:t>
      </w:r>
      <w:hyperlink r:id="rId7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1A1003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7" w:name="o108"/>
      <w:bookmarkEnd w:id="10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пропозиції щодо внесення змін до чинного законодавства;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892889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8" w:name="o109"/>
      <w:bookmarkEnd w:id="10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в) пропозиції щодо внесення змін до адміністративної практики;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88EC25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09" w:name="o110"/>
      <w:bookmarkEnd w:id="10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г) пропозиції для врахування під час підготовки законопроектів;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7C1D03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0" w:name="o111"/>
      <w:bookmarkEnd w:id="11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д) пропозиції щодо забезпечення професійної підготовки з питань вивчення Конвенції </w:t>
      </w:r>
      <w:hyperlink r:id="rId7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практики Європейського суду з прав людини для суддів, прокурорів, адвокатів, працівників правоохоронних органів, імміграційних служб, інших категорій працівників, професійна діяльність яких пов'язана із правозастосуванням, а також з триманням людей в умовах позбавлення свободи;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15D43D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1" w:name="o112"/>
      <w:bookmarkEnd w:id="11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е) пропозиції щодо здійснення інших заходів загального характеру, спрямованих на усунення недоліків системного характеру, припинення спричиненого цими недоліками порушення Конвенції </w:t>
      </w:r>
      <w:hyperlink r:id="rId7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забезпечення максимального відшкодування наслідків цих порушень;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201617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2" w:name="o113"/>
      <w:bookmarkEnd w:id="11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є) перелік центральних органів виконавчої влади, які є відповідальними за вжиття кожного з пропонованих у поданні заходів.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A05909C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3" w:name="o114"/>
      <w:bookmarkEnd w:id="11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Одночасно з поданням Орган представництва готує аналітичний огляд для Верховного Суду України, який включає: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289A436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4" w:name="o115"/>
      <w:bookmarkEnd w:id="11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аналіз обставин, що спричинили порушення Конвенції </w:t>
      </w:r>
      <w:hyperlink r:id="rId8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56D890E" w14:textId="77777777" w:rsidR="00CF7043" w:rsidRPr="00CF7043" w:rsidRDefault="00CF7043" w:rsidP="00CF704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5" w:name="o116"/>
      <w:bookmarkEnd w:id="11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пропозиції щодо приведення судової практики у відповідність з вимогами Конвенції </w:t>
      </w:r>
      <w:hyperlink r:id="rId81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462FA4F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6" w:name="o117"/>
      <w:bookmarkEnd w:id="11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4. Одночасно з поданням Орган представництва готує та надсилає до Апарату Верховної Ради України пропозиції для врахування під час підготовки законопроектів.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CD8917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7" w:name="o118"/>
      <w:bookmarkEnd w:id="117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15.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Дії Кабінету Міністрів України щодо вжиття заходів загального характеру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B52489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8" w:name="o119"/>
      <w:bookmarkEnd w:id="11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Прем'єр-міністр України відповідно до подання, передбаченого у статті 14 цього Закону, визначає центральні органи виконавчої влади, які є відповідальними за виконання заходів загального характеру, та невідкладно дає їм відповідні доручення.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EB8B7E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19" w:name="o120"/>
      <w:bookmarkEnd w:id="11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Центральний орган виконавчої влади, визначений у дорученні Прем'єр-міністра України, у встановлений у дорученні строк: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F74F9D5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0" w:name="o121"/>
      <w:bookmarkEnd w:id="12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забезпечує в межах своєї компетенції видання відомчих актів на виконання заходів загального характеру та контролює їх виконання;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5A1283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1" w:name="o122"/>
      <w:bookmarkEnd w:id="12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вносить до Кабінету Міністрів України пропозиції щодо прийняття нових, скасування чинних нормативно-правових актів або внесення до них змін.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291670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2" w:name="o123"/>
      <w:bookmarkEnd w:id="12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Кабінет Міністрів України: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F2B5515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3" w:name="o124"/>
      <w:bookmarkEnd w:id="12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а) видає в межах своєї компетенції акти на виконання заходів загального характеру;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C6BEE07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4" w:name="o125"/>
      <w:bookmarkEnd w:id="12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б) вносить у порядку законодавчої ініціативи до Верховної Ради України законопроекти щодо прийняття нових, скасування чинних законів або внесення до них змін.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9775D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5" w:name="o126"/>
      <w:bookmarkEnd w:id="12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4. Відповідні акти мають бути видані та відповідний законопроект має бути внесений Кабінетом Міністрів України на розгляд Верховної Ради України протягом трьох місяців від дня видання доручення Прем'єр-міністра України, передбаченого частиною першою цієї статті.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491416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6" w:name="o127"/>
      <w:bookmarkEnd w:id="126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16.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Відповідальність за невиконання чи неналежне виконання Рішення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385F284" w14:textId="77777777" w:rsidR="00CF7043" w:rsidRPr="00CF7043" w:rsidRDefault="00CF7043" w:rsidP="00CF7043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7" w:name="o128"/>
      <w:bookmarkEnd w:id="12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У разі невиконання або неналежного виконання Рішення винні службові особи, до повноважень яких належить це виконання, несуть адміністративну, цивільну або кримінальну відповідальність, передбачену законами України.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4B58859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8" w:name="o129"/>
      <w:bookmarkEnd w:id="128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Глава 4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ЗАСТОСУВАННЯ В УКРАЇНІ КОНВЕНЦІЇ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hyperlink r:id="rId8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ПРАКТИКИ СУДУ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33C825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29" w:name="o130"/>
      <w:bookmarkEnd w:id="129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lastRenderedPageBreak/>
        <w:t>Стаття 17.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Застосування судами Конвенції </w:t>
      </w:r>
      <w:hyperlink r:id="rId83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практики Суду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362274B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0" w:name="o131"/>
      <w:bookmarkEnd w:id="13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Суди застосовують при розгляді справ Конвенцію </w:t>
      </w:r>
      <w:hyperlink r:id="rId8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практику Суду як джерело права.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78A253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1" w:name="o132"/>
      <w:bookmarkEnd w:id="131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18.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Порядок посилання на Конвенцію </w:t>
      </w:r>
      <w:hyperlink r:id="rId85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практику Суду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9C3697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2" w:name="o133"/>
      <w:bookmarkEnd w:id="13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Для цілей посилання на текст Конвенції </w:t>
      </w:r>
      <w:hyperlink r:id="rId86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суди використовують офіційний переклад Конвенції </w:t>
      </w:r>
      <w:hyperlink r:id="rId87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українською мовою (далі - переклад).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8B16E3F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3" w:name="o134"/>
      <w:bookmarkEnd w:id="133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Для цілей посилання на Рішення та ухвали Суду та на ухвали Комісії суди використовують переклади текстів рішень Суду та ухвал Комісії (далі - переклад), надруковані у виданні, передбаченому в статті 6 цього Закону.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9DF17F8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4" w:name="o135"/>
      <w:bookmarkEnd w:id="134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У разі відсутності перекладу Рішення та ухвали Суду чи ухвали Комісії суд користується оригінальним текстом.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EA7379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5" w:name="o136"/>
      <w:bookmarkEnd w:id="13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4. У разі виявлення мовної розбіжності між перекладом та оригінальним текстом суд користується оригінальним текстом.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00CAC65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6" w:name="o137"/>
      <w:bookmarkEnd w:id="13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5. У разі виявлення мовної розбіжності між оригінальними текстами та/або в разі потреби мовного тлумачення оригінального тексту використовується відповідна практика Суду.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13E60E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7" w:name="o138"/>
      <w:bookmarkEnd w:id="137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Стаття 19.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Застосування у сфері законодавства та в адміністративній практиці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11953D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8" w:name="o139"/>
      <w:bookmarkEnd w:id="13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Орган представництва здійснює юридичну експертизу всіх законопроектів, а також підзаконних нормативних актів, на які поширюється вимога державної реєстрації, на відповідність Конвенції </w:t>
      </w:r>
      <w:hyperlink r:id="rId88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, за результатами чого готує спеціальний висновок.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3B14C19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39" w:name="o140"/>
      <w:bookmarkEnd w:id="13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Нездійснення передбаченої частиною першою цієї статті перевірки або наявність висновку про невідповідність підзаконного акта вимогам Конвенції </w:t>
      </w:r>
      <w:hyperlink r:id="rId89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є підставою для відмови в державній реєстрації відповідного підзаконного акта.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63C1266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0" w:name="o141"/>
      <w:bookmarkEnd w:id="14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3. Орган представництва забезпечує постійну та з розумною періодичністю перевірку чинних законів і підзаконних актів на відповідність Конвенції </w:t>
      </w:r>
      <w:hyperlink r:id="rId90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практиці Суду, передовсім у сферах, що стосуються діяльності правоохоронних органів, кримінального провадження, позбавлення свободи.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3EA6C8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1" w:name="o142"/>
      <w:bookmarkEnd w:id="14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 xml:space="preserve">4. За результатами передбаченої у частині третій цієї статті перевірки Орган представництва подає до Кабінету Міністрів України пропозиції щодо 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lastRenderedPageBreak/>
        <w:t>внесення змін до чинних законів та підзаконних актів з метою приведення їх у відповідність з вимогами Конвенції </w:t>
      </w:r>
      <w:hyperlink r:id="rId91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відповідною практикою Суду.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5351176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2" w:name="o143"/>
      <w:bookmarkEnd w:id="14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5. Міністерства, інші центральні органи виконавчої влади забезпечують систематичний контроль за додержанням у рамках відомчого підпорядкування адміністративної практики, що відповідає Конвенції </w:t>
      </w:r>
      <w:hyperlink r:id="rId92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практиці Суду.</w:t>
      </w:r>
    </w:p>
    <w:p w14:paraId="68FADCDF" w14:textId="77777777" w:rsidR="00CF7043" w:rsidRPr="00CF7043" w:rsidRDefault="00CF7043" w:rsidP="00CF70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3" w:name="o144"/>
      <w:bookmarkEnd w:id="143"/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{Частина п'ята статті 19 із змінами, внесеними згідно із Законом N 5463-VI </w:t>
      </w:r>
      <w:hyperlink r:id="rId93" w:tgtFrame="_blank" w:history="1">
        <w:r w:rsidRPr="00CF7043">
          <w:rPr>
            <w:rFonts w:ascii="Arial" w:eastAsia="Times New Roman" w:hAnsi="Arial" w:cs="Arial"/>
            <w:i/>
            <w:iCs/>
            <w:color w:val="666666"/>
            <w:sz w:val="27"/>
            <w:szCs w:val="27"/>
            <w:u w:val="single"/>
            <w:lang w:eastAsia="uk-UA"/>
          </w:rPr>
          <w:t>5463-17</w:t>
        </w:r>
      </w:hyperlink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t> від 16.10.2012}</w:t>
      </w:r>
      <w:r w:rsidRPr="00CF7043">
        <w:rPr>
          <w:rFonts w:ascii="Arial" w:eastAsia="Times New Roman" w:hAnsi="Arial" w:cs="Arial"/>
          <w:i/>
          <w:iCs/>
          <w:color w:val="999999"/>
          <w:sz w:val="27"/>
          <w:szCs w:val="27"/>
          <w:lang w:eastAsia="uk-UA"/>
        </w:rPr>
        <w:br/>
        <w:t> </w:t>
      </w:r>
    </w:p>
    <w:p w14:paraId="7AF841C8" w14:textId="77777777" w:rsidR="00CF7043" w:rsidRPr="00CF7043" w:rsidRDefault="00CF7043" w:rsidP="00CF7043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4" w:name="o145"/>
      <w:bookmarkEnd w:id="144"/>
      <w:r w:rsidRPr="00CF7043">
        <w:rPr>
          <w:rFonts w:ascii="Arial" w:eastAsia="Times New Roman" w:hAnsi="Arial" w:cs="Arial"/>
          <w:b/>
          <w:bCs/>
          <w:color w:val="333333"/>
          <w:sz w:val="27"/>
          <w:szCs w:val="27"/>
          <w:lang w:eastAsia="uk-UA"/>
        </w:rPr>
        <w:t>Глава 5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ПРИКІНЦЕВІ ПОЛОЖЕННЯ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1008FA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5" w:name="o146"/>
      <w:bookmarkEnd w:id="145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1. Цей Закон набирає чинності з дня його опублікування.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D93555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6" w:name="o147"/>
      <w:bookmarkEnd w:id="146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2. Кабінету Міністрів України: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083D4DB0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7" w:name="o148"/>
      <w:bookmarkEnd w:id="147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1) протягом місяця з дня набрання чинності цим Законом: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32DA081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8" w:name="o149"/>
      <w:bookmarkEnd w:id="148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привести у відповідність із цим Законом свої нормативно-правові акти;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717457AE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49" w:name="o150"/>
      <w:bookmarkEnd w:id="149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забезпечити приведення у відповідність із цим Законом нормативно-правових актів центральних органів виконавчої влади;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7549072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0" w:name="o151"/>
      <w:bookmarkEnd w:id="150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2) вжити заходів та, у разі необхідності, внести пропозиції до Верховної Ради України щодо включення питань оволодіння положеннями Конвенції </w:t>
      </w:r>
      <w:hyperlink r:id="rId94" w:tgtFrame="_blank" w:history="1">
        <w:r w:rsidRPr="00CF7043">
          <w:rPr>
            <w:rFonts w:ascii="Arial" w:eastAsia="Times New Roman" w:hAnsi="Arial" w:cs="Arial"/>
            <w:color w:val="004BC1"/>
            <w:sz w:val="27"/>
            <w:szCs w:val="27"/>
            <w:u w:val="single"/>
            <w:lang w:eastAsia="uk-UA"/>
          </w:rPr>
          <w:t>995_004</w:t>
        </w:r>
      </w:hyperlink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 та практики Суду: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22361DFD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1" w:name="o152"/>
      <w:bookmarkEnd w:id="151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 вимог професійного рівня окремих категорій суддів, а також прокурорів, адвокатів, нотаріусів;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p w14:paraId="11292BB6" w14:textId="52337428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bookmarkStart w:id="152" w:name="o153"/>
      <w:bookmarkEnd w:id="152"/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до програм первинної підготовки та підвищення кваліфікації суддів, прокурорів, адвокатів, працівників правоохоронних органів, імміграційних служб, інших категорій працівників, професійна діяльність яких пов'язана із правозастосуванням, а також з триманням людей в умовах позбавлення свободи;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bookmarkStart w:id="153" w:name="o154"/>
      <w:bookmarkEnd w:id="153"/>
    </w:p>
    <w:p w14:paraId="737E8C74" w14:textId="77777777" w:rsidR="00CF7043" w:rsidRPr="00CF7043" w:rsidRDefault="00CF7043" w:rsidP="00CF7043">
      <w:pPr>
        <w:shd w:val="clear" w:color="auto" w:fill="FFFFFF"/>
        <w:spacing w:after="0" w:line="240" w:lineRule="auto"/>
        <w:ind w:firstLine="900"/>
        <w:jc w:val="both"/>
        <w:rPr>
          <w:rFonts w:ascii="Arial" w:eastAsia="Times New Roman" w:hAnsi="Arial" w:cs="Arial"/>
          <w:color w:val="333333"/>
          <w:sz w:val="27"/>
          <w:szCs w:val="27"/>
          <w:lang w:eastAsia="uk-UA"/>
        </w:rPr>
      </w:pP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t>3) щорічно передбачати в проекті Державного бюджету України окремою бюджетною програмою кошти на виконання рішень Європейського суду з прав людини.</w:t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</w:r>
      <w:r w:rsidRPr="00CF7043">
        <w:rPr>
          <w:rFonts w:ascii="Arial" w:eastAsia="Times New Roman" w:hAnsi="Arial" w:cs="Arial"/>
          <w:color w:val="333333"/>
          <w:sz w:val="27"/>
          <w:szCs w:val="27"/>
          <w:lang w:eastAsia="uk-UA"/>
        </w:rPr>
        <w:br/>
        <w:t> 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3"/>
      </w:tblGrid>
      <w:tr w:rsidR="00CF7043" w:rsidRPr="00CF7043" w14:paraId="4DDA35B8" w14:textId="77777777" w:rsidTr="00CF7043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hideMark/>
          </w:tcPr>
          <w:p w14:paraId="58DF25D7" w14:textId="77777777" w:rsidR="00CF7043" w:rsidRPr="00CF7043" w:rsidRDefault="00CF7043" w:rsidP="00CF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</w:pPr>
            <w:bookmarkStart w:id="154" w:name="o155"/>
            <w:bookmarkEnd w:id="154"/>
            <w:r w:rsidRPr="00CF7043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t xml:space="preserve"> Президент України                                        В.ЮЩЕНКО </w:t>
            </w:r>
            <w:r w:rsidRPr="00CF7043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br/>
            </w:r>
          </w:p>
          <w:p w14:paraId="03BB91EF" w14:textId="77777777" w:rsidR="00CF7043" w:rsidRPr="00CF7043" w:rsidRDefault="00CF7043" w:rsidP="00CF7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nsolas" w:eastAsia="Times New Roman" w:hAnsi="Consolas" w:cs="Courier New"/>
                <w:color w:val="212529"/>
                <w:sz w:val="27"/>
                <w:szCs w:val="27"/>
                <w:lang w:eastAsia="uk-UA"/>
              </w:rPr>
            </w:pPr>
            <w:r w:rsidRPr="00CF7043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lastRenderedPageBreak/>
              <w:t xml:space="preserve"> м. Київ, 23 лютого 2006 року </w:t>
            </w:r>
            <w:r w:rsidRPr="00CF7043">
              <w:rPr>
                <w:rFonts w:ascii="Consolas" w:eastAsia="Times New Roman" w:hAnsi="Consolas" w:cs="Courier New"/>
                <w:color w:val="333333"/>
                <w:sz w:val="27"/>
                <w:szCs w:val="27"/>
                <w:lang w:eastAsia="uk-UA"/>
              </w:rPr>
              <w:br/>
              <w:t xml:space="preserve">          N 3477-IV </w:t>
            </w:r>
          </w:p>
        </w:tc>
      </w:tr>
    </w:tbl>
    <w:p w14:paraId="33D4AAAD" w14:textId="77777777" w:rsidR="00CD2D31" w:rsidRDefault="00CD2D31" w:rsidP="00CF7043">
      <w:pPr>
        <w:jc w:val="both"/>
      </w:pPr>
    </w:p>
    <w:sectPr w:rsidR="00CD2D31" w:rsidSect="00CF7043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5B"/>
    <w:rsid w:val="00A4425B"/>
    <w:rsid w:val="00CD2D31"/>
    <w:rsid w:val="00C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1F366"/>
  <w15:chartTrackingRefBased/>
  <w15:docId w15:val="{5EEF0CD3-C959-4AB3-83E0-9DC08F641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zakon.rada.gov.ua/laws/show/994_537" TargetMode="External"/><Relationship Id="rId21" Type="http://schemas.openxmlformats.org/officeDocument/2006/relationships/hyperlink" Target="https://zakon.rada.gov.ua/laws/show/994_802" TargetMode="External"/><Relationship Id="rId42" Type="http://schemas.openxmlformats.org/officeDocument/2006/relationships/hyperlink" Target="https://zakon.rada.gov.ua/laws/show/994_536" TargetMode="External"/><Relationship Id="rId47" Type="http://schemas.openxmlformats.org/officeDocument/2006/relationships/hyperlink" Target="https://zakon.rada.gov.ua/laws/show/606-14" TargetMode="External"/><Relationship Id="rId63" Type="http://schemas.openxmlformats.org/officeDocument/2006/relationships/hyperlink" Target="https://zakon.rada.gov.ua/laws/show/3135-17" TargetMode="External"/><Relationship Id="rId68" Type="http://schemas.openxmlformats.org/officeDocument/2006/relationships/hyperlink" Target="https://zakon.rada.gov.ua/laws/show/3135-17" TargetMode="External"/><Relationship Id="rId84" Type="http://schemas.openxmlformats.org/officeDocument/2006/relationships/hyperlink" Target="https://zakon.rada.gov.ua/laws/show/995_004" TargetMode="External"/><Relationship Id="rId89" Type="http://schemas.openxmlformats.org/officeDocument/2006/relationships/hyperlink" Target="https://zakon.rada.gov.ua/laws/show/995_004" TargetMode="External"/><Relationship Id="rId16" Type="http://schemas.openxmlformats.org/officeDocument/2006/relationships/hyperlink" Target="https://zakon.rada.gov.ua/laws/show/994_180" TargetMode="External"/><Relationship Id="rId11" Type="http://schemas.openxmlformats.org/officeDocument/2006/relationships/hyperlink" Target="https://zakon.rada.gov.ua/laws/show/994_804" TargetMode="External"/><Relationship Id="rId32" Type="http://schemas.openxmlformats.org/officeDocument/2006/relationships/hyperlink" Target="https://zakon.rada.gov.ua/laws/show/995_004" TargetMode="External"/><Relationship Id="rId37" Type="http://schemas.openxmlformats.org/officeDocument/2006/relationships/hyperlink" Target="https://zakon.rada.gov.ua/laws/show/994_059" TargetMode="External"/><Relationship Id="rId53" Type="http://schemas.openxmlformats.org/officeDocument/2006/relationships/hyperlink" Target="https://zakon.rada.gov.ua/laws/show/3135-17" TargetMode="External"/><Relationship Id="rId58" Type="http://schemas.openxmlformats.org/officeDocument/2006/relationships/hyperlink" Target="https://zakon.rada.gov.ua/laws/show/606-14" TargetMode="External"/><Relationship Id="rId74" Type="http://schemas.openxmlformats.org/officeDocument/2006/relationships/hyperlink" Target="https://zakon.rada.gov.ua/laws/show/995_004" TargetMode="External"/><Relationship Id="rId79" Type="http://schemas.openxmlformats.org/officeDocument/2006/relationships/hyperlink" Target="https://zakon.rada.gov.ua/laws/show/995_004" TargetMode="External"/><Relationship Id="rId5" Type="http://schemas.openxmlformats.org/officeDocument/2006/relationships/hyperlink" Target="https://zakon.rada.gov.ua/laws/show/3135-17" TargetMode="External"/><Relationship Id="rId90" Type="http://schemas.openxmlformats.org/officeDocument/2006/relationships/hyperlink" Target="https://zakon.rada.gov.ua/laws/show/995_004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zakon.rada.gov.ua/laws/show/994_804" TargetMode="External"/><Relationship Id="rId27" Type="http://schemas.openxmlformats.org/officeDocument/2006/relationships/hyperlink" Target="https://zakon.rada.gov.ua/laws/show/994_180" TargetMode="External"/><Relationship Id="rId43" Type="http://schemas.openxmlformats.org/officeDocument/2006/relationships/hyperlink" Target="https://zakon.rada.gov.ua/laws/show/994_537" TargetMode="External"/><Relationship Id="rId48" Type="http://schemas.openxmlformats.org/officeDocument/2006/relationships/hyperlink" Target="https://zakon.rada.gov.ua/laws/show/3135-17" TargetMode="External"/><Relationship Id="rId64" Type="http://schemas.openxmlformats.org/officeDocument/2006/relationships/hyperlink" Target="https://zakon.rada.gov.ua/laws/show/3135-17" TargetMode="External"/><Relationship Id="rId69" Type="http://schemas.openxmlformats.org/officeDocument/2006/relationships/hyperlink" Target="https://zakon.rada.gov.ua/laws/show/3135-17" TargetMode="External"/><Relationship Id="rId8" Type="http://schemas.openxmlformats.org/officeDocument/2006/relationships/hyperlink" Target="https://zakon.rada.gov.ua/laws/show/994_535" TargetMode="External"/><Relationship Id="rId51" Type="http://schemas.openxmlformats.org/officeDocument/2006/relationships/hyperlink" Target="https://zakon.rada.gov.ua/laws/show/3135-17" TargetMode="External"/><Relationship Id="rId72" Type="http://schemas.openxmlformats.org/officeDocument/2006/relationships/hyperlink" Target="https://zakon.rada.gov.ua/laws/show/3135-17" TargetMode="External"/><Relationship Id="rId80" Type="http://schemas.openxmlformats.org/officeDocument/2006/relationships/hyperlink" Target="https://zakon.rada.gov.ua/laws/show/995_004" TargetMode="External"/><Relationship Id="rId85" Type="http://schemas.openxmlformats.org/officeDocument/2006/relationships/hyperlink" Target="https://zakon.rada.gov.ua/laws/show/995_004" TargetMode="External"/><Relationship Id="rId93" Type="http://schemas.openxmlformats.org/officeDocument/2006/relationships/hyperlink" Target="https://zakon.rada.gov.ua/laws/show/5463-1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zakon.rada.gov.ua/laws/show/994_170" TargetMode="External"/><Relationship Id="rId17" Type="http://schemas.openxmlformats.org/officeDocument/2006/relationships/hyperlink" Target="https://zakon.rada.gov.ua/laws/show/994_527" TargetMode="External"/><Relationship Id="rId25" Type="http://schemas.openxmlformats.org/officeDocument/2006/relationships/hyperlink" Target="https://zakon.rada.gov.ua/laws/show/994_536" TargetMode="External"/><Relationship Id="rId33" Type="http://schemas.openxmlformats.org/officeDocument/2006/relationships/hyperlink" Target="https://zakon.rada.gov.ua/laws/show/3135-17" TargetMode="External"/><Relationship Id="rId38" Type="http://schemas.openxmlformats.org/officeDocument/2006/relationships/hyperlink" Target="https://zakon.rada.gov.ua/laws/show/994_802" TargetMode="External"/><Relationship Id="rId46" Type="http://schemas.openxmlformats.org/officeDocument/2006/relationships/hyperlink" Target="https://zakon.rada.gov.ua/laws/show/995_004" TargetMode="External"/><Relationship Id="rId59" Type="http://schemas.openxmlformats.org/officeDocument/2006/relationships/hyperlink" Target="https://zakon.rada.gov.ua/laws/show/5463-17" TargetMode="External"/><Relationship Id="rId67" Type="http://schemas.openxmlformats.org/officeDocument/2006/relationships/hyperlink" Target="https://zakon.rada.gov.ua/laws/show/995_004" TargetMode="External"/><Relationship Id="rId20" Type="http://schemas.openxmlformats.org/officeDocument/2006/relationships/hyperlink" Target="https://zakon.rada.gov.ua/laws/show/994_059" TargetMode="External"/><Relationship Id="rId41" Type="http://schemas.openxmlformats.org/officeDocument/2006/relationships/hyperlink" Target="https://zakon.rada.gov.ua/laws/show/994_171" TargetMode="External"/><Relationship Id="rId54" Type="http://schemas.openxmlformats.org/officeDocument/2006/relationships/hyperlink" Target="https://zakon.rada.gov.ua/laws/show/3135-17" TargetMode="External"/><Relationship Id="rId62" Type="http://schemas.openxmlformats.org/officeDocument/2006/relationships/hyperlink" Target="https://zakon.rada.gov.ua/laws/show/5463-17" TargetMode="External"/><Relationship Id="rId70" Type="http://schemas.openxmlformats.org/officeDocument/2006/relationships/hyperlink" Target="https://zakon.rada.gov.ua/laws/show/3135-17" TargetMode="External"/><Relationship Id="rId75" Type="http://schemas.openxmlformats.org/officeDocument/2006/relationships/hyperlink" Target="https://zakon.rada.gov.ua/laws/show/995_004" TargetMode="External"/><Relationship Id="rId83" Type="http://schemas.openxmlformats.org/officeDocument/2006/relationships/hyperlink" Target="https://zakon.rada.gov.ua/laws/show/995_004" TargetMode="External"/><Relationship Id="rId88" Type="http://schemas.openxmlformats.org/officeDocument/2006/relationships/hyperlink" Target="https://zakon.rada.gov.ua/laws/show/995_004" TargetMode="External"/><Relationship Id="rId91" Type="http://schemas.openxmlformats.org/officeDocument/2006/relationships/hyperlink" Target="https://zakon.rada.gov.ua/laws/show/995_004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463-17" TargetMode="External"/><Relationship Id="rId15" Type="http://schemas.openxmlformats.org/officeDocument/2006/relationships/hyperlink" Target="https://zakon.rada.gov.ua/laws/show/994_537" TargetMode="External"/><Relationship Id="rId23" Type="http://schemas.openxmlformats.org/officeDocument/2006/relationships/hyperlink" Target="https://zakon.rada.gov.ua/laws/show/994_170" TargetMode="External"/><Relationship Id="rId28" Type="http://schemas.openxmlformats.org/officeDocument/2006/relationships/hyperlink" Target="https://zakon.rada.gov.ua/laws/show/994_527" TargetMode="External"/><Relationship Id="rId36" Type="http://schemas.openxmlformats.org/officeDocument/2006/relationships/hyperlink" Target="https://zakon.rada.gov.ua/laws/show/994_535" TargetMode="External"/><Relationship Id="rId49" Type="http://schemas.openxmlformats.org/officeDocument/2006/relationships/hyperlink" Target="https://zakon.rada.gov.ua/laws/show/3135-17" TargetMode="External"/><Relationship Id="rId57" Type="http://schemas.openxmlformats.org/officeDocument/2006/relationships/hyperlink" Target="https://zakon.rada.gov.ua/laws/show/5463-17" TargetMode="External"/><Relationship Id="rId10" Type="http://schemas.openxmlformats.org/officeDocument/2006/relationships/hyperlink" Target="https://zakon.rada.gov.ua/laws/show/994_802" TargetMode="External"/><Relationship Id="rId31" Type="http://schemas.openxmlformats.org/officeDocument/2006/relationships/hyperlink" Target="https://zakon.rada.gov.ua/laws/show/3135-17" TargetMode="External"/><Relationship Id="rId44" Type="http://schemas.openxmlformats.org/officeDocument/2006/relationships/hyperlink" Target="https://zakon.rada.gov.ua/laws/show/994_180" TargetMode="External"/><Relationship Id="rId52" Type="http://schemas.openxmlformats.org/officeDocument/2006/relationships/hyperlink" Target="https://zakon.rada.gov.ua/laws/show/995_004" TargetMode="External"/><Relationship Id="rId60" Type="http://schemas.openxmlformats.org/officeDocument/2006/relationships/hyperlink" Target="https://zakon.rada.gov.ua/laws/show/995_004" TargetMode="External"/><Relationship Id="rId65" Type="http://schemas.openxmlformats.org/officeDocument/2006/relationships/hyperlink" Target="https://zakon.rada.gov.ua/laws/show/435-15" TargetMode="External"/><Relationship Id="rId73" Type="http://schemas.openxmlformats.org/officeDocument/2006/relationships/hyperlink" Target="https://zakon.rada.gov.ua/laws/show/995_004" TargetMode="External"/><Relationship Id="rId78" Type="http://schemas.openxmlformats.org/officeDocument/2006/relationships/hyperlink" Target="https://zakon.rada.gov.ua/laws/show/995_004" TargetMode="External"/><Relationship Id="rId81" Type="http://schemas.openxmlformats.org/officeDocument/2006/relationships/hyperlink" Target="https://zakon.rada.gov.ua/laws/show/995_004" TargetMode="External"/><Relationship Id="rId86" Type="http://schemas.openxmlformats.org/officeDocument/2006/relationships/hyperlink" Target="https://zakon.rada.gov.ua/laws/show/995_004" TargetMode="External"/><Relationship Id="rId94" Type="http://schemas.openxmlformats.org/officeDocument/2006/relationships/hyperlink" Target="https://zakon.rada.gov.ua/laws/show/995_004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994_059" TargetMode="External"/><Relationship Id="rId13" Type="http://schemas.openxmlformats.org/officeDocument/2006/relationships/hyperlink" Target="https://zakon.rada.gov.ua/laws/show/994_171" TargetMode="External"/><Relationship Id="rId18" Type="http://schemas.openxmlformats.org/officeDocument/2006/relationships/hyperlink" Target="https://zakon.rada.gov.ua/laws/show/995_004" TargetMode="External"/><Relationship Id="rId39" Type="http://schemas.openxmlformats.org/officeDocument/2006/relationships/hyperlink" Target="https://zakon.rada.gov.ua/laws/show/994_804" TargetMode="External"/><Relationship Id="rId34" Type="http://schemas.openxmlformats.org/officeDocument/2006/relationships/hyperlink" Target="https://zakon.rada.gov.ua/laws/show/3135-17" TargetMode="External"/><Relationship Id="rId50" Type="http://schemas.openxmlformats.org/officeDocument/2006/relationships/hyperlink" Target="https://zakon.rada.gov.ua/laws/show/3135-17" TargetMode="External"/><Relationship Id="rId55" Type="http://schemas.openxmlformats.org/officeDocument/2006/relationships/hyperlink" Target="https://zakon.rada.gov.ua/laws/show/3135-17" TargetMode="External"/><Relationship Id="rId76" Type="http://schemas.openxmlformats.org/officeDocument/2006/relationships/hyperlink" Target="https://zakon.rada.gov.ua/laws/show/3135-17" TargetMode="External"/><Relationship Id="rId7" Type="http://schemas.openxmlformats.org/officeDocument/2006/relationships/hyperlink" Target="https://zakon.rada.gov.ua/laws/show/995_004" TargetMode="External"/><Relationship Id="rId71" Type="http://schemas.openxmlformats.org/officeDocument/2006/relationships/hyperlink" Target="https://zakon.rada.gov.ua/laws/show/3135-17" TargetMode="External"/><Relationship Id="rId92" Type="http://schemas.openxmlformats.org/officeDocument/2006/relationships/hyperlink" Target="https://zakon.rada.gov.ua/laws/show/995_00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zakon.rada.gov.ua/laws/show/995_004" TargetMode="External"/><Relationship Id="rId24" Type="http://schemas.openxmlformats.org/officeDocument/2006/relationships/hyperlink" Target="https://zakon.rada.gov.ua/laws/show/994_171" TargetMode="External"/><Relationship Id="rId40" Type="http://schemas.openxmlformats.org/officeDocument/2006/relationships/hyperlink" Target="https://zakon.rada.gov.ua/laws/show/994_170" TargetMode="External"/><Relationship Id="rId45" Type="http://schemas.openxmlformats.org/officeDocument/2006/relationships/hyperlink" Target="https://zakon.rada.gov.ua/laws/show/994_527" TargetMode="External"/><Relationship Id="rId66" Type="http://schemas.openxmlformats.org/officeDocument/2006/relationships/hyperlink" Target="https://zakon.rada.gov.ua/laws/show/3135-17" TargetMode="External"/><Relationship Id="rId87" Type="http://schemas.openxmlformats.org/officeDocument/2006/relationships/hyperlink" Target="https://zakon.rada.gov.ua/laws/show/995_004" TargetMode="External"/><Relationship Id="rId61" Type="http://schemas.openxmlformats.org/officeDocument/2006/relationships/hyperlink" Target="https://zakon.rada.gov.ua/laws/show/3135-17" TargetMode="External"/><Relationship Id="rId82" Type="http://schemas.openxmlformats.org/officeDocument/2006/relationships/hyperlink" Target="https://zakon.rada.gov.ua/laws/show/995_004" TargetMode="External"/><Relationship Id="rId19" Type="http://schemas.openxmlformats.org/officeDocument/2006/relationships/hyperlink" Target="https://zakon.rada.gov.ua/laws/show/994_535" TargetMode="External"/><Relationship Id="rId14" Type="http://schemas.openxmlformats.org/officeDocument/2006/relationships/hyperlink" Target="https://zakon.rada.gov.ua/laws/show/994_536" TargetMode="External"/><Relationship Id="rId30" Type="http://schemas.openxmlformats.org/officeDocument/2006/relationships/hyperlink" Target="https://zakon.rada.gov.ua/laws/show/3135-17" TargetMode="External"/><Relationship Id="rId35" Type="http://schemas.openxmlformats.org/officeDocument/2006/relationships/hyperlink" Target="https://zakon.rada.gov.ua/laws/show/995_004" TargetMode="External"/><Relationship Id="rId56" Type="http://schemas.openxmlformats.org/officeDocument/2006/relationships/hyperlink" Target="https://zakon.rada.gov.ua/laws/show/3135-17" TargetMode="External"/><Relationship Id="rId77" Type="http://schemas.openxmlformats.org/officeDocument/2006/relationships/hyperlink" Target="https://zakon.rada.gov.ua/laws/show/995_004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19919</Words>
  <Characters>11354</Characters>
  <Application>Microsoft Office Word</Application>
  <DocSecurity>0</DocSecurity>
  <Lines>94</Lines>
  <Paragraphs>62</Paragraphs>
  <ScaleCrop>false</ScaleCrop>
  <Company/>
  <LinksUpToDate>false</LinksUpToDate>
  <CharactersWithSpaces>31211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Зубрицька Ольга Ярославівна</dc:creator>
  <cp:keywords/>
  <dc:description/>
  <cp:lastModifiedBy>Зубрицька Ольга Ярославівна</cp:lastModifiedBy>
  <cp:revision>2</cp:revision>
  <dcterms:created xsi:type="dcterms:W3CDTF">2025-10-14T13:33:00Z</dcterms:created>
  <dcterms:modified xsi:type="dcterms:W3CDTF">2025-10-14T13:34:00Z</dcterms:modified>
</cp:coreProperties>
</file>